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Purpose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:  The PTSA Jets Service Scholarship honors the outstanding service and accomplishments of two JCHS Seniors with recognition at Senior Awards Night and a cash award of $500 each. This award will be paid to the award-winners directly to help defray the expenses associated with tuition and fees for scholastic endeavors or professional training.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Criteria and Eligibility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: The award-winner must be a current JCHS Senior who is preparing to transition from high school to pursue further academic or technical instruction.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yellow"/>
          <w:rtl w:val="0"/>
        </w:rPr>
        <w:t xml:space="preserve">To be eligible, candidates must be active members of the JC PTSA and are required to submit a complete application. Applications will only be considered if they include the following components submitted before the deadline: a completed application form (including essay), an unofficial transcript, and two teacher recommendations. If any of these items are not included, applications will not be considered.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Other criteria include:  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Minimum 3.0 GPA as shown on unofficial transcript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Community Service of 40 documented hours over 4 years of High School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Participation in 3 extra-curricular activities over 4 years of High School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(school clubs, church outreach, part-time work, etc)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Essay on community service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(no more than 500 words)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Teacher Recommendations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(2)</w:t>
      </w:r>
    </w:p>
    <w:p w:rsidR="00000000" w:rsidDel="00000000" w:rsidP="00000000" w:rsidRDefault="00000000" w:rsidRPr="00000000" w14:paraId="00000008">
      <w:pPr>
        <w:spacing w:after="240" w:line="276.0005454545455" w:lineRule="auto"/>
        <w:rPr>
          <w:rFonts w:ascii="Times New Roman" w:cs="Times New Roman" w:eastAsia="Times New Roman" w:hAnsi="Times New Roman"/>
          <w:color w:val="333333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Categories and Scoring Components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25"/>
        <w:gridCol w:w="4755"/>
        <w:tblGridChange w:id="0">
          <w:tblGrid>
            <w:gridCol w:w="4125"/>
            <w:gridCol w:w="475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.000545454545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GPA (on unofficial transcript)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.000545454545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 points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.000545454545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Community Service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.000545454545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 points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.000545454545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Extra-curricular activities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.000545454545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 points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.000545454545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Essay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.000545454545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15 points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.000545454545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Teacher Recommendations (2)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.0005454545455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 points (2 letters x 5 points each)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.000545454545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.0005454545455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50 points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spacing w:after="240" w:before="240" w:line="240" w:lineRule="auto"/>
        <w:rPr>
          <w:rFonts w:ascii="Times New Roman" w:cs="Times New Roman" w:eastAsia="Times New Roman" w:hAnsi="Times New Roman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240" w:before="24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Important Directions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333333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yellow"/>
          <w:rtl w:val="0"/>
        </w:rPr>
        <w:t xml:space="preserve">Deadline for application submission is Friday, March 21, 2025 at 3:30 p.m.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Complete the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Jets Service Scholarship Application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All documents, including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Teacher Recommendations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may be submitted to Mrs. Meskunas in the JCHS Counselors Office.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Should you have any questions, please inquire via email to the PTSA at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jcptsa@gmail.com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after="24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The Committee will announce the award-winner on Tuesday, May 6, 2025.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after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333333"/>
        <w:sz w:val="28"/>
        <w:szCs w:val="28"/>
        <w:rtl w:val="0"/>
      </w:rPr>
      <w:t xml:space="preserve">PTSA Jets Service Scholarship Instructions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4ANojYot7nNkxtilDhEbX8oUkMkp4_ztNqd_l4s-Mz4/edit?usp=sharing" TargetMode="External"/><Relationship Id="rId7" Type="http://schemas.openxmlformats.org/officeDocument/2006/relationships/hyperlink" Target="https://docs.google.com/document/d/1529GW26FUzG451GSoQ0qWXRDYpmccNWP5ETSpRGvGDY/edit?usp=sharing" TargetMode="External"/><Relationship Id="rId8" Type="http://schemas.openxmlformats.org/officeDocument/2006/relationships/hyperlink" Target="mailto:jcpt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